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8" w:rsidRPr="00943578" w:rsidRDefault="00943578" w:rsidP="00943578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</w:rPr>
      </w:pPr>
      <w:r w:rsidRPr="00943578">
        <w:rPr>
          <w:rFonts w:ascii="PT Serif" w:eastAsia="Times New Roman" w:hAnsi="PT Serif" w:cs="Tahoma"/>
          <w:color w:val="373737"/>
          <w:kern w:val="36"/>
          <w:sz w:val="38"/>
          <w:szCs w:val="38"/>
        </w:rPr>
        <w:t>Приказ Министерства экономического развития Российской Федерации, Федерального казначейства от 20 сентября 2013 г. N 544/18н г. Москва</w:t>
      </w:r>
    </w:p>
    <w:p w:rsidR="00943578" w:rsidRPr="00943578" w:rsidRDefault="00943578" w:rsidP="00943578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</w:rPr>
      </w:pPr>
      <w:r w:rsidRPr="00943578">
        <w:rPr>
          <w:rFonts w:ascii="PT Serif" w:eastAsia="Times New Roman" w:hAnsi="PT Serif" w:cs="Tahoma"/>
          <w:color w:val="373737"/>
          <w:sz w:val="23"/>
          <w:szCs w:val="23"/>
        </w:rPr>
        <w:t>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</w:t>
      </w:r>
      <w:r w:rsidRPr="00943578">
        <w:rPr>
          <w:rFonts w:ascii="PT Serif" w:eastAsia="Times New Roman" w:hAnsi="PT Serif" w:cs="Tahoma"/>
          <w:color w:val="373737"/>
          <w:sz w:val="23"/>
        </w:rPr>
        <w:t> </w:t>
      </w:r>
      <w:hyperlink r:id="rId4" w:anchor="comments" w:history="1">
        <w:r w:rsidRPr="00943578">
          <w:rPr>
            <w:rFonts w:ascii="Tahoma" w:eastAsia="Times New Roman" w:hAnsi="Tahoma" w:cs="Tahoma"/>
            <w:color w:val="FFFFFF"/>
            <w:sz w:val="14"/>
          </w:rPr>
          <w:t>0</w:t>
        </w:r>
      </w:hyperlink>
    </w:p>
    <w:p w:rsidR="00943578" w:rsidRPr="00943578" w:rsidRDefault="00943578" w:rsidP="00943578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r w:rsidRPr="00943578">
        <w:rPr>
          <w:rFonts w:ascii="Tahoma" w:eastAsia="Times New Roman" w:hAnsi="Tahoma" w:cs="Tahoma"/>
          <w:color w:val="B5B5B5"/>
          <w:sz w:val="17"/>
          <w:szCs w:val="17"/>
        </w:rPr>
        <w:t>Работа с документами:</w:t>
      </w:r>
    </w:p>
    <w:p w:rsidR="00943578" w:rsidRPr="00943578" w:rsidRDefault="00943578" w:rsidP="0094357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hyperlink r:id="rId5" w:history="1">
        <w:r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43578">
          <w:rPr>
            <w:rFonts w:ascii="Tahoma" w:eastAsia="Times New Roman" w:hAnsi="Tahoma" w:cs="Tahoma"/>
            <w:color w:val="8D2929"/>
            <w:sz w:val="17"/>
            <w:u w:val="single"/>
          </w:rPr>
          <w:t xml:space="preserve">Сохранить в формате MS </w:t>
        </w:r>
        <w:proofErr w:type="spellStart"/>
        <w:r w:rsidRPr="00943578">
          <w:rPr>
            <w:rFonts w:ascii="Tahoma" w:eastAsia="Times New Roman" w:hAnsi="Tahoma" w:cs="Tahoma"/>
            <w:color w:val="8D2929"/>
            <w:sz w:val="17"/>
            <w:u w:val="single"/>
          </w:rPr>
          <w:t>Word</w:t>
        </w:r>
        <w:proofErr w:type="spellEnd"/>
      </w:hyperlink>
      <w:r w:rsidRPr="00943578">
        <w:rPr>
          <w:rFonts w:ascii="Tahoma" w:eastAsia="Times New Roman" w:hAnsi="Tahoma" w:cs="Tahoma"/>
          <w:color w:val="B5B5B5"/>
          <w:sz w:val="17"/>
          <w:szCs w:val="17"/>
        </w:rPr>
        <w:br/>
      </w:r>
      <w:hyperlink r:id="rId7" w:history="1">
        <w:r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43578">
          <w:rPr>
            <w:rFonts w:ascii="Tahoma" w:eastAsia="Times New Roman" w:hAnsi="Tahoma" w:cs="Tahoma"/>
            <w:color w:val="8D2929"/>
            <w:sz w:val="17"/>
            <w:u w:val="single"/>
          </w:rPr>
          <w:t>Версия для печати</w:t>
        </w:r>
      </w:hyperlink>
    </w:p>
    <w:p w:rsidR="00943578" w:rsidRPr="00943578" w:rsidRDefault="00943578" w:rsidP="0094357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578">
        <w:rPr>
          <w:rFonts w:ascii="Tahoma" w:eastAsia="Times New Roman" w:hAnsi="Tahoma" w:cs="Tahoma"/>
          <w:color w:val="B5B5B5"/>
          <w:sz w:val="17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578">
        <w:rPr>
          <w:rFonts w:ascii="Tahoma" w:eastAsia="Times New Roman" w:hAnsi="Tahoma" w:cs="Tahoma"/>
          <w:color w:val="B5B5B5"/>
          <w:sz w:val="17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578">
        <w:rPr>
          <w:rFonts w:ascii="Tahoma" w:eastAsia="Times New Roman" w:hAnsi="Tahoma" w:cs="Tahoma"/>
          <w:color w:val="B5B5B5"/>
          <w:sz w:val="17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78" w:rsidRPr="00943578" w:rsidRDefault="00943578" w:rsidP="0094357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</w:p>
    <w:p w:rsidR="00943578" w:rsidRPr="00943578" w:rsidRDefault="00943578" w:rsidP="00943578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r w:rsidRPr="00943578">
        <w:rPr>
          <w:rFonts w:ascii="Tahoma" w:eastAsia="Times New Roman" w:hAnsi="Tahoma" w:cs="Tahoma"/>
          <w:color w:val="B5B5B5"/>
          <w:sz w:val="17"/>
          <w:szCs w:val="17"/>
        </w:rPr>
        <w:t>Дополнительно:</w:t>
      </w:r>
    </w:p>
    <w:p w:rsidR="00943578" w:rsidRPr="00943578" w:rsidRDefault="00943578" w:rsidP="0094357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943578">
        <w:rPr>
          <w:rFonts w:ascii="Arial" w:eastAsia="Times New Roman" w:hAnsi="Arial" w:cs="Arial"/>
          <w:color w:val="B5B5B5"/>
          <w:sz w:val="17"/>
        </w:rPr>
        <w:t>Опубликовано:</w:t>
      </w:r>
      <w:r w:rsidRPr="00943578">
        <w:rPr>
          <w:rFonts w:ascii="Arial" w:eastAsia="Times New Roman" w:hAnsi="Arial" w:cs="Arial"/>
          <w:color w:val="373737"/>
          <w:sz w:val="17"/>
        </w:rPr>
        <w:t> </w:t>
      </w:r>
      <w:r w:rsidRPr="00943578">
        <w:rPr>
          <w:rFonts w:ascii="Arial" w:eastAsia="Times New Roman" w:hAnsi="Arial" w:cs="Arial"/>
          <w:color w:val="373737"/>
          <w:sz w:val="17"/>
          <w:szCs w:val="17"/>
        </w:rPr>
        <w:t>4 декабря 2013 г. в</w:t>
      </w:r>
      <w:r w:rsidRPr="00943578">
        <w:rPr>
          <w:rFonts w:ascii="Arial" w:eastAsia="Times New Roman" w:hAnsi="Arial" w:cs="Arial"/>
          <w:color w:val="373737"/>
          <w:sz w:val="17"/>
        </w:rPr>
        <w:t> </w:t>
      </w:r>
      <w:hyperlink r:id="rId17" w:history="1">
        <w:r w:rsidRPr="00943578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№6249</w:t>
        </w:r>
        <w:proofErr w:type="gramStart"/>
      </w:hyperlink>
      <w:r w:rsidRPr="00943578">
        <w:rPr>
          <w:rFonts w:ascii="Arial" w:eastAsia="Times New Roman" w:hAnsi="Arial" w:cs="Arial"/>
          <w:color w:val="373737"/>
          <w:sz w:val="17"/>
        </w:rPr>
        <w:t> </w:t>
      </w:r>
      <w:r w:rsidRPr="00943578">
        <w:rPr>
          <w:rFonts w:ascii="Arial" w:eastAsia="Times New Roman" w:hAnsi="Arial" w:cs="Arial"/>
          <w:color w:val="373737"/>
          <w:sz w:val="17"/>
          <w:szCs w:val="17"/>
        </w:rPr>
        <w:br/>
      </w:r>
      <w:r w:rsidRPr="00943578">
        <w:rPr>
          <w:rFonts w:ascii="Arial" w:eastAsia="Times New Roman" w:hAnsi="Arial" w:cs="Arial"/>
          <w:color w:val="B5B5B5"/>
          <w:sz w:val="17"/>
        </w:rPr>
        <w:t>В</w:t>
      </w:r>
      <w:proofErr w:type="gramEnd"/>
      <w:r w:rsidRPr="00943578">
        <w:rPr>
          <w:rFonts w:ascii="Arial" w:eastAsia="Times New Roman" w:hAnsi="Arial" w:cs="Arial"/>
          <w:color w:val="B5B5B5"/>
          <w:sz w:val="17"/>
        </w:rPr>
        <w:t>ступает в силу:</w:t>
      </w:r>
      <w:r w:rsidRPr="00943578">
        <w:rPr>
          <w:rFonts w:ascii="Arial" w:eastAsia="Times New Roman" w:hAnsi="Arial" w:cs="Arial"/>
          <w:color w:val="373737"/>
          <w:sz w:val="17"/>
          <w:szCs w:val="17"/>
        </w:rPr>
        <w:t>1 января 2014 г.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>Зарегистрирован в Минюсте РФ 26 ноября 2013 г.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Регистрационный N 30455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В соответствии с частью 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</w:t>
      </w:r>
      <w:r w:rsidRPr="00943578">
        <w:rPr>
          <w:rFonts w:ascii="Arial" w:eastAsia="Times New Roman" w:hAnsi="Arial" w:cs="Arial"/>
          <w:color w:val="373737"/>
          <w:sz w:val="21"/>
        </w:rPr>
        <w:t> </w:t>
      </w:r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приказываем: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1. Утвердить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согласно приложению.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2. Настоящий приказ вступает в силу с 1 января 2014 г.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Министр экономического развития Российской Федерации А. </w:t>
      </w:r>
      <w:proofErr w:type="spellStart"/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>Улюкаев</w:t>
      </w:r>
      <w:proofErr w:type="spellEnd"/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>Руководитель Федерального казначейства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Р. </w:t>
      </w:r>
      <w:proofErr w:type="spellStart"/>
      <w:r w:rsidRPr="00943578">
        <w:rPr>
          <w:rFonts w:ascii="Arial" w:eastAsia="Times New Roman" w:hAnsi="Arial" w:cs="Arial"/>
          <w:b/>
          <w:bCs/>
          <w:color w:val="373737"/>
          <w:sz w:val="21"/>
          <w:szCs w:val="21"/>
        </w:rPr>
        <w:t>Артюхин</w:t>
      </w:r>
      <w:proofErr w:type="spellEnd"/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  <w:u w:val="single"/>
        </w:rPr>
        <w:t>Приложение</w:t>
      </w:r>
    </w:p>
    <w:p w:rsidR="00943578" w:rsidRPr="00943578" w:rsidRDefault="00943578" w:rsidP="00943578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943578">
        <w:rPr>
          <w:rFonts w:ascii="Arial" w:eastAsia="Times New Roman" w:hAnsi="Arial" w:cs="Arial"/>
          <w:b/>
          <w:bCs/>
          <w:color w:val="373737"/>
          <w:sz w:val="24"/>
          <w:szCs w:val="24"/>
        </w:rPr>
        <w:t>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1.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Настоящие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- Особенности) устанавливают особенности размещения заказчиком на официальном сайте Российской Федерации в информационно-</w:t>
      </w:r>
      <w:r w:rsidRPr="00943578">
        <w:rPr>
          <w:rFonts w:ascii="Arial" w:eastAsia="Times New Roman" w:hAnsi="Arial" w:cs="Arial"/>
          <w:color w:val="373737"/>
          <w:sz w:val="21"/>
          <w:szCs w:val="21"/>
        </w:rPr>
        <w:lastRenderedPageBreak/>
        <w:t>телекоммуникационной сети "Интернет" для размещения информации о размещении заказов на поставки товаров, выполнение работ оказание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услуг </w:t>
      </w:r>
      <w:proofErr w:type="spell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www.zakupki.gov.ru</w:t>
      </w:r>
      <w:hyperlink r:id="rId18" w:tgtFrame="_blank" w:history="1">
        <w:r w:rsidRPr="00943578">
          <w:rPr>
            <w:rFonts w:ascii="Arial" w:eastAsia="Times New Roman" w:hAnsi="Arial" w:cs="Arial"/>
            <w:color w:val="344A64"/>
            <w:sz w:val="21"/>
            <w:u w:val="single"/>
          </w:rPr>
          <w:t>www.zakupki.gov.ru</w:t>
        </w:r>
        <w:proofErr w:type="spellEnd"/>
      </w:hyperlink>
      <w:r w:rsidRPr="00943578">
        <w:rPr>
          <w:rFonts w:ascii="Arial" w:eastAsia="Times New Roman" w:hAnsi="Arial" w:cs="Arial"/>
          <w:color w:val="373737"/>
          <w:sz w:val="21"/>
        </w:rPr>
        <w:t> </w:t>
      </w:r>
      <w:r w:rsidRPr="00943578">
        <w:rPr>
          <w:rFonts w:ascii="Arial" w:eastAsia="Times New Roman" w:hAnsi="Arial" w:cs="Arial"/>
          <w:color w:val="373737"/>
          <w:sz w:val="21"/>
          <w:szCs w:val="21"/>
        </w:rPr>
        <w:t>(далее - официальный сайт) планов-графиков размещения заказов товаров, работ, услуг для обеспечение государственных и муниципальных нужд на 2014 и 2015 годы (далее - планы-графики) в соответствии с совместным приказом Министерства экономического развития Российской Федерации и Федерального казначейства от 27 декабря 2011 г. N 761/20н "Об утверждении порядка размещения на официальном сайте планов-графиков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(зарегистрирован Министерством юстиции Российской Федерации 9 февраля 2012 г., регистрационный N 23186) 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"О внесении изменения в совместный приказ Минэкономразвития России и Федерального казначейства от 27 декабря 2011 г. N 761/20н" (зарегистрирован Министерством юстиции Российской Федерации 2 июля 2013 г., регистрационный N 28961) (далее - приказ N 761/20н).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Положения, установленные Особенностями для заказчиков, распространяются на определенные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N 27, ст. 3480) (далее - Федеральный закон N 44-ФЗ) уполномоченные органы, уполномоченные учреждения, на которые в соответствии со статьей 26 Федерального закона N 44-ФЗ возложены полномочия, в том числе на планирование закупок, а также на юридические лица, на которые при осуществлении ими закупок в соответствии со статьей 15 Федерального закона N 44-ФЗ распространяются положения указанного Федерального закона.</w:t>
      </w:r>
      <w:proofErr w:type="gramEnd"/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2.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размещение плана-графика на официальном сайте осуществляется в день его утверждения.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3. Планы-графики, содержащие сведения, составляющие государственную тайну, на официальном сайте не размещаются.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4.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(подрядчика, исполнителя), а также способом определения поставщика (подрядчика, исполнителя), определяемом в соответствии со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статьей 111 Федерального закона N 44-ФЗ.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5. Размещение плана-графика на официальном сайте по форме планов-графиков размещения заказов на поставки товаров, выполнение работ, оказание услуг для нужд заказчиков, утвержденной приказом N 761/20н (далее - форма планов-графиков), осуществляется с учетом следующих положений: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lastRenderedPageBreak/>
        <w:t>1) в наименовании плана-графика указывается: "План-график размещения заказов на поставку товаров, выполнение работ, оказание услуг для обеспечения государственных и муниципальных нужд на ____ год" с отражением года, на который формируется план-график. При указании данных о заказчике, предусмотренных формой планов-графиков по строке "ОКАТО", указывается код Общероссийского классификатора территорий муниципальных образований (OKTMO);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2) в соответствующих столбцах, предусмотренных формой планов-графиков, указываются: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а) в столбце 1 - код бюджетной классификации Российской Федерации (КБК),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содержащий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в том числе код классификации операции сектора государственного управления, относящийся к расходам бюджетов;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б) в столбце 2 по соответствующей закупке (лоту) - код Общероссийского классификатора видов экономической деятельности (ОКВЭД), соответствующий коду Общероссийского классификатора продукции по видам экономической деятельности (ОКПД), с обязательным указанием класса, подкласса, группы, подгруппы и вида объекта закупки;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в) в столбце 3 по соответствующей закупке (лоту) - вместо кода Общероссийского классификатора видов экономической деятельности, продукции и услуг (ОКДП) - код ОКПД с обязательным указанием класса, подкласса, группы, подгруппы и вида объекта закупки;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г) в столбце 4 -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д</w:t>
      </w:r>
      <w:proofErr w:type="spell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) в столбце 5 - наименование товара, работы, услуги,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являющихся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предметом контракта. В случае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если при осуществлении закупки выделяются лоты, в плане-графике предмет контракта указывается раздельно по каждому лоту;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е) в столбце 6: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N 44-ФЗ;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группировочные</w:t>
      </w:r>
      <w:proofErr w:type="spell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наименования, если объектом закупки являются лекарственные средства;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N 44-ФЗ (при наличии таких запретов, ограничений, условий);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предоставляемые участникам закупки преимущества в соответствии со статьями 28 и 29 Федерального закона N 44-ФЗ (при наличии таких преимуществ);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дополнительные требования к участникам закупки, установленные в соответствии с частью 2 статьи 31 Федерального закона N 44-ФЗ (при наличии таких требований);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статьей 30 Федерального закона N 44-ФЗ (при наличии таких ограничений);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информация об обязательном общественном обсуждении закупки товара, работы или услуги;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ж) в столбце 7 - единицы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з</w:t>
      </w:r>
      <w:proofErr w:type="spellEnd"/>
      <w:r w:rsidRPr="00943578">
        <w:rPr>
          <w:rFonts w:ascii="Arial" w:eastAsia="Times New Roman" w:hAnsi="Arial" w:cs="Arial"/>
          <w:color w:val="373737"/>
          <w:sz w:val="21"/>
          <w:szCs w:val="21"/>
        </w:rPr>
        <w:t>) в столбце 8 - 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планов-графиков. В случае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если период осуществления закупки товаров превышает срок, на который утверждается план-график, в столбце 8 формы планов-графиков через символ "/" также указывается количество товара, планируемого к поставке в текущем году исполнения контракта (в случае, если объект закупки может быть количественно измерен);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и)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статьи 22 Федерального закона N 44-ФЗ. В случае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если период осуществления закупки превышает срок, на который утверждается план - график, в столбце 9 через символ "/" также указывается размер выплат в текущем году исполнения контракта. В случае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цена запасных частей или каждой запасной части к технике, оборудованию, цена единицы работы или услуги, а также через символ "/" максимальный размер оплаты по контракту;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к) в столбце 10 -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предполагается);</w:t>
      </w:r>
      <w:proofErr w:type="gramEnd"/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л) в столбце 11 -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м) в столбце 12 - срок исполнения контракта. В случае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если контрактом предусмотрены поэтапное исполнение контракта и его оплата, указываются сроки исполнения отдельных этапов, если периодичная поставка товаров, выполнение работ, оказание услуг - периодичность поставки товаров, выполнения работ, </w:t>
      </w:r>
      <w:r w:rsidRPr="00943578">
        <w:rPr>
          <w:rFonts w:ascii="Arial" w:eastAsia="Times New Roman" w:hAnsi="Arial" w:cs="Arial"/>
          <w:color w:val="373737"/>
          <w:sz w:val="21"/>
          <w:szCs w:val="21"/>
        </w:rPr>
        <w:lastRenderedPageBreak/>
        <w:t>оказания услуг (ежедневно, еженедельно, два раза в месяц, ежемесячно, ежеквартально, раз в полгода);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н</w:t>
      </w:r>
      <w:proofErr w:type="spellEnd"/>
      <w:r w:rsidRPr="00943578">
        <w:rPr>
          <w:rFonts w:ascii="Arial" w:eastAsia="Times New Roman" w:hAnsi="Arial" w:cs="Arial"/>
          <w:color w:val="373737"/>
          <w:sz w:val="21"/>
          <w:szCs w:val="21"/>
        </w:rPr>
        <w:t>) в столбце 13 - способ определения поставщика (подрядчика, исполнителя);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о) в столбце 14 -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3) информация о закупках, которые планируется осуществлять в соответствии с пунктами 4 и 7 части 2 статьи 83 Федерального закона N 44-ФЗ, указывается в столбцах 1, 5, 9 и 13 формы планов-графиков одной строкой в размере совокупного годового объема денежных средств по каждому из перечисленных ниже объектов закупки: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а) преподавательские услуги, оказываемые физическими лицами;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б) услуги экскурсовода (гида), оказываемые физическими лицами;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в) лекарственные препараты;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4) информация о закупках, которые планируется осуществлять в соответствии с пунктами 4 и 5 части 1 статьи 93 Федерального закона N 44-ФЗ, указывается в столбцах 1, 9 и 13 формы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ниже объектов закупки:</w:t>
      </w:r>
      <w:proofErr w:type="gramEnd"/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а) товары, работы или услуги на сумму, не превышающую ста тысяч рублей;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б) товары, работы или услуги на сумму, не превышающую четырехсот тысяч рублей;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5) после информации о закупках, которые планируется осуществлять в соответствии с пунктами 4 и 5 части 1 статьи 93 Федерального закона N 44-ФЗ, в столбцах 9 и 13 формы плана-графика указывается следующая итоговая информация о совокупных годовых объемах закупок (тыс. рублей):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а) у единственного поставщика (подрядчика, исполнителя) в соответствии с пунктом 4 части 1 статьи 93 Федерального закона N 44-ФЗ;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б) у единственного поставщика (подрядчика, исполнителя) в соответствии с пунктом 5 части 1 статьи 93 Федерального закона N 44-ФЗ;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в) у субъектов малого предпринимательства, социально ориентированных некоммерческих организаций;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г) осуществляемых путем проведения запроса котировок;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д</w:t>
      </w:r>
      <w:proofErr w:type="spell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) всего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планируемых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в текущем году. Через символ "/" указывается также размер выплат по исполнению контрактов в текущем году;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>6) в случае,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заполняются;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lastRenderedPageBreak/>
        <w:t>7) в нижнем правом углу плана-графика указывается ответственный за формирование плана-графика соответственно заказчика, уполномоченного органа, уполномоченного учреждения (фамилия и инициалы, телефон (факс) и (или) адрес электронной почты).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6.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позднее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пункте 7 Особенностей, а в случае,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позднее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чем за десять календарных дней до даты заключения контракта.</w:t>
      </w:r>
    </w:p>
    <w:p w:rsidR="00943578" w:rsidRPr="00943578" w:rsidRDefault="00943578" w:rsidP="0094357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7.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соответствии с пунктами 9 и 28 части 1 статьи 93 Федерального закона N 44-ФЗ, не </w:t>
      </w:r>
      <w:proofErr w:type="gramStart"/>
      <w:r w:rsidRPr="00943578">
        <w:rPr>
          <w:rFonts w:ascii="Arial" w:eastAsia="Times New Roman" w:hAnsi="Arial" w:cs="Arial"/>
          <w:color w:val="373737"/>
          <w:sz w:val="21"/>
          <w:szCs w:val="21"/>
        </w:rPr>
        <w:t>позднее</w:t>
      </w:r>
      <w:proofErr w:type="gramEnd"/>
      <w:r w:rsidRPr="00943578">
        <w:rPr>
          <w:rFonts w:ascii="Arial" w:eastAsia="Times New Roman" w:hAnsi="Arial" w:cs="Arial"/>
          <w:color w:val="373737"/>
          <w:sz w:val="21"/>
          <w:szCs w:val="21"/>
        </w:rPr>
        <w:t xml:space="preserve"> чем за один календарный день до даты заключения контракта.</w:t>
      </w:r>
    </w:p>
    <w:p w:rsidR="00BE10F2" w:rsidRDefault="00BE10F2"/>
    <w:sectPr w:rsidR="00B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578"/>
    <w:rsid w:val="00943578"/>
    <w:rsid w:val="00BE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3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43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35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43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43578"/>
  </w:style>
  <w:style w:type="character" w:styleId="a3">
    <w:name w:val="Hyperlink"/>
    <w:basedOn w:val="a0"/>
    <w:uiPriority w:val="99"/>
    <w:semiHidden/>
    <w:unhideWhenUsed/>
    <w:rsid w:val="00943578"/>
    <w:rPr>
      <w:color w:val="0000FF"/>
      <w:u w:val="single"/>
    </w:rPr>
  </w:style>
  <w:style w:type="character" w:customStyle="1" w:styleId="comments">
    <w:name w:val="comments"/>
    <w:basedOn w:val="a0"/>
    <w:rsid w:val="00943578"/>
  </w:style>
  <w:style w:type="character" w:customStyle="1" w:styleId="tik-text">
    <w:name w:val="tik-text"/>
    <w:basedOn w:val="a0"/>
    <w:rsid w:val="00943578"/>
  </w:style>
  <w:style w:type="paragraph" w:styleId="a4">
    <w:name w:val="Normal (Web)"/>
    <w:basedOn w:val="a"/>
    <w:uiPriority w:val="99"/>
    <w:semiHidden/>
    <w:unhideWhenUsed/>
    <w:rsid w:val="0094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93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9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24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3/12/04/postavki-dok.html" TargetMode="External"/><Relationship Id="rId18" Type="http://schemas.openxmlformats.org/officeDocument/2006/relationships/hyperlink" Target="http://www.zakupk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3/12/04/postavki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13/12/04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3/12/04/postavki-dok.html" TargetMode="External"/><Relationship Id="rId5" Type="http://schemas.openxmlformats.org/officeDocument/2006/relationships/hyperlink" Target="http://outer.rg.ru/plain/download_doc/?url=2013/12/04/postavki-dok.html" TargetMode="External"/><Relationship Id="rId15" Type="http://schemas.openxmlformats.org/officeDocument/2006/relationships/hyperlink" Target="https://m.google.com/app/plus/x/?v=compose&amp;content=http://www.rg.ru/2013/12/04/postavki-dok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rg.ru/2013/12/04/postavki-dok.html" TargetMode="External"/><Relationship Id="rId9" Type="http://schemas.openxmlformats.org/officeDocument/2006/relationships/hyperlink" Target="http://twitter.com/home?status=http://www.rg.ru/2013/12/04/postavki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2345</Words>
  <Characters>13367</Characters>
  <Application>Microsoft Office Word</Application>
  <DocSecurity>0</DocSecurity>
  <Lines>111</Lines>
  <Paragraphs>31</Paragraphs>
  <ScaleCrop>false</ScaleCrop>
  <Company>МДОУ Солнышко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2014-09-12T02:03:00Z</dcterms:created>
  <dcterms:modified xsi:type="dcterms:W3CDTF">2014-09-12T02:05:00Z</dcterms:modified>
</cp:coreProperties>
</file>